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E40" w:rsidRDefault="00341528">
      <w:r>
        <w:t>Article 13 – Loi du 30/12/2025</w:t>
      </w:r>
    </w:p>
    <w:p w:rsidR="00341528" w:rsidRDefault="00341528" w:rsidP="00341528">
      <w:pPr>
        <w:pStyle w:val="name-article"/>
      </w:pPr>
      <w:hyperlink r:id="rId4" w:history="1">
        <w:r>
          <w:rPr>
            <w:rStyle w:val="Lienhypertexte"/>
          </w:rPr>
          <w:t>Article 13</w:t>
        </w:r>
      </w:hyperlink>
      <w:bookmarkStart w:id="0" w:name="_GoBack"/>
      <w:bookmarkEnd w:id="0"/>
    </w:p>
    <w:p w:rsidR="00341528" w:rsidRDefault="00341528" w:rsidP="00341528">
      <w:pPr>
        <w:pStyle w:val="NormalWeb"/>
      </w:pPr>
      <w:r>
        <w:br/>
        <w:t>I. - Il est institué, au titre de l'année 2026, une contribution due par les organismes mentionnés au I de l'</w:t>
      </w:r>
      <w:hyperlink r:id="rId5" w:tooltip="Code de la sécurité sociale. - art. L862-4" w:history="1">
        <w:r>
          <w:rPr>
            <w:rStyle w:val="Lienhypertexte"/>
          </w:rPr>
          <w:t>article L. 862-4 du code de la sécurité sociale</w:t>
        </w:r>
      </w:hyperlink>
      <w:r>
        <w:t>.</w:t>
      </w:r>
      <w:r>
        <w:br/>
        <w:t>Cette contribution est assise sur l'ensemble des sommes stipulées en 2026 au profit des organismes mentionnés au premier alinéa du présent article au titre des cotisations d'assurance maladie complémentaire, selon les modalités définies au I et au dernier alinéa du II bis de l'</w:t>
      </w:r>
      <w:hyperlink r:id="rId6" w:tooltip="Code de la sécurité sociale. - art. L862-4" w:history="1">
        <w:r>
          <w:rPr>
            <w:rStyle w:val="Lienhypertexte"/>
          </w:rPr>
          <w:t>article L. 862-4 du code de la sécurité sociale</w:t>
        </w:r>
      </w:hyperlink>
      <w:r>
        <w:t xml:space="preserve">. </w:t>
      </w:r>
      <w:r w:rsidRPr="00341528">
        <w:rPr>
          <w:highlight w:val="yellow"/>
        </w:rPr>
        <w:t>Pour l'année 2026, le montant de ces cotisations ne peut être augmenté par rapport à celui applicable pour l'année 2025.</w:t>
      </w:r>
      <w:r>
        <w:br/>
        <w:t>Le taux de la contribution est fixé à 2,05 %.</w:t>
      </w:r>
      <w:r>
        <w:br/>
        <w:t>La contribution est recouvrée par l'organisme désigné pour le recouvrement de la taxe mentionnée au même article L. 862-4, concomitamment au recouvrement de cette même taxe. Elle peut faire l'objet d'une régularisation annuelle, au plus tard le 30 juin 2027, selon les mêmes modalités que celles prévues pour la taxe additionnelle mentionnée audit article L. 862-4.</w:t>
      </w:r>
      <w:r>
        <w:br/>
        <w:t>Le V du même article L. 862-4 et le premier alinéa de l'</w:t>
      </w:r>
      <w:hyperlink r:id="rId7" w:tooltip="Code de la sécurité sociale. - art. L862-5" w:history="1">
        <w:r>
          <w:rPr>
            <w:rStyle w:val="Lienhypertexte"/>
          </w:rPr>
          <w:t>article L. 862-5 du même code</w:t>
        </w:r>
      </w:hyperlink>
      <w:r>
        <w:t xml:space="preserve"> sont applicables à cette contribution.</w:t>
      </w:r>
      <w:r>
        <w:br/>
        <w:t>II. - Le produit de la contribution prévue au I du présent article est affecté à la branche mentionnée au 1° de l'</w:t>
      </w:r>
      <w:hyperlink r:id="rId8" w:tooltip="Code de la sécurité sociale. - art. L200-2" w:history="1">
        <w:r>
          <w:rPr>
            <w:rStyle w:val="Lienhypertexte"/>
          </w:rPr>
          <w:t>article L. 200-2 du code de la sécurité sociale</w:t>
        </w:r>
      </w:hyperlink>
      <w:r>
        <w:t>.</w:t>
      </w:r>
      <w:r>
        <w:br/>
        <w:t>III. - Le présent article entre en vigueur le 1</w:t>
      </w:r>
      <w:r>
        <w:rPr>
          <w:vertAlign w:val="superscript"/>
        </w:rPr>
        <w:t>er</w:t>
      </w:r>
      <w:r>
        <w:t xml:space="preserve"> janvier 2026.</w:t>
      </w:r>
      <w:r>
        <w:br/>
        <w:t>IV. - Avant le 31 mars 2026, le Gouvernement et l'Union nationale des caisses d'assurance maladie engagent avec l'Union nationale des organismes complémentaires d'assurance maladie une négociation relative aux conditions tendant à ce que le montant de la contribution instituée au présent article ne soit pas répercuté par les organismes assujettis sur les cotisations d'assurance maladie complémentaire stipulées au cours des exercices en cours et à venir.</w:t>
      </w:r>
    </w:p>
    <w:p w:rsidR="00341528" w:rsidRDefault="00341528"/>
    <w:sectPr w:rsidR="003415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528"/>
    <w:rsid w:val="00341528"/>
    <w:rsid w:val="004130F7"/>
    <w:rsid w:val="005147F2"/>
    <w:rsid w:val="00E74E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AB7B4"/>
  <w15:chartTrackingRefBased/>
  <w15:docId w15:val="{0319D7CC-2D80-4276-B4F9-62ABB1CBC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ame-article">
    <w:name w:val="name-article"/>
    <w:basedOn w:val="Normal"/>
    <w:rsid w:val="0034152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341528"/>
    <w:rPr>
      <w:color w:val="0000FF"/>
      <w:u w:val="single"/>
    </w:rPr>
  </w:style>
  <w:style w:type="paragraph" w:styleId="NormalWeb">
    <w:name w:val="Normal (Web)"/>
    <w:basedOn w:val="Normal"/>
    <w:uiPriority w:val="99"/>
    <w:semiHidden/>
    <w:unhideWhenUsed/>
    <w:rsid w:val="0034152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333421">
      <w:bodyDiv w:val="1"/>
      <w:marLeft w:val="0"/>
      <w:marRight w:val="0"/>
      <w:marTop w:val="0"/>
      <w:marBottom w:val="0"/>
      <w:divBdr>
        <w:top w:val="none" w:sz="0" w:space="0" w:color="auto"/>
        <w:left w:val="none" w:sz="0" w:space="0" w:color="auto"/>
        <w:bottom w:val="none" w:sz="0" w:space="0" w:color="auto"/>
        <w:right w:val="none" w:sz="0" w:space="0" w:color="auto"/>
      </w:divBdr>
      <w:divsChild>
        <w:div w:id="86386890">
          <w:marLeft w:val="0"/>
          <w:marRight w:val="0"/>
          <w:marTop w:val="0"/>
          <w:marBottom w:val="0"/>
          <w:divBdr>
            <w:top w:val="none" w:sz="0" w:space="0" w:color="auto"/>
            <w:left w:val="none" w:sz="0" w:space="0" w:color="auto"/>
            <w:bottom w:val="none" w:sz="0" w:space="0" w:color="auto"/>
            <w:right w:val="none" w:sz="0" w:space="0" w:color="auto"/>
          </w:divBdr>
        </w:div>
        <w:div w:id="1561090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3189&amp;idArticle=LEGIARTI000006742246&amp;dateTexte=&amp;categorieLien=cid" TargetMode="External"/><Relationship Id="rId3" Type="http://schemas.openxmlformats.org/officeDocument/2006/relationships/webSettings" Target="webSettings.xml"/><Relationship Id="rId7" Type="http://schemas.openxmlformats.org/officeDocument/2006/relationships/hyperlink" Target="https://www.legifrance.gouv.fr/affichCodeArticle.do?cidTexte=LEGITEXT000006073189&amp;idArticle=LEGIARTI000006745441&amp;dateTexte=&amp;categorieLien=ci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gifrance.gouv.fr/affichCodeArticle.do?cidTexte=LEGITEXT000006073189&amp;idArticle=LEGIARTI000006745432&amp;dateTexte=&amp;categorieLien=cid" TargetMode="External"/><Relationship Id="rId5" Type="http://schemas.openxmlformats.org/officeDocument/2006/relationships/hyperlink" Target="https://www.legifrance.gouv.fr/affichCodeArticle.do?cidTexte=LEGITEXT000006073189&amp;idArticle=LEGIARTI000006745432&amp;dateTexte=&amp;categorieLien=cid" TargetMode="External"/><Relationship Id="rId10" Type="http://schemas.openxmlformats.org/officeDocument/2006/relationships/theme" Target="theme/theme1.xml"/><Relationship Id="rId4" Type="http://schemas.openxmlformats.org/officeDocument/2006/relationships/hyperlink" Target="https://www.legifrance.gouv.fr/jorf/article_jo/JORFARTI000053226458"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427</Words>
  <Characters>2353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Didier VANQUELEF</dc:creator>
  <cp:keywords/>
  <dc:description/>
  <cp:lastModifiedBy>Didier VANQUELEF</cp:lastModifiedBy>
  <cp:revision>1</cp:revision>
  <dcterms:created xsi:type="dcterms:W3CDTF">2026-01-21T09:08:00Z</dcterms:created>
  <dcterms:modified xsi:type="dcterms:W3CDTF">2026-01-21T09:09:00Z</dcterms:modified>
</cp:coreProperties>
</file>